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EC06F">
      <w:pP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69D0E9F1">
      <w:pP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2C3C167A">
      <w:pPr>
        <w:bidi w:val="0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  <w:t>附件2：</w:t>
      </w:r>
    </w:p>
    <w:p w14:paraId="0F13C4A3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  <w:t>采购需求报价</w:t>
      </w:r>
    </w:p>
    <w:p w14:paraId="273ED2F2">
      <w:pPr>
        <w:pStyle w:val="5"/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536"/>
        <w:gridCol w:w="448"/>
        <w:gridCol w:w="104"/>
        <w:gridCol w:w="514"/>
        <w:gridCol w:w="636"/>
        <w:gridCol w:w="636"/>
        <w:gridCol w:w="891"/>
        <w:gridCol w:w="3118"/>
        <w:gridCol w:w="1199"/>
      </w:tblGrid>
      <w:tr w14:paraId="4407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3" w:type="dxa"/>
            <w:gridSpan w:val="9"/>
          </w:tcPr>
          <w:p w14:paraId="39E8AAA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技术需求表</w:t>
            </w:r>
          </w:p>
        </w:tc>
        <w:tc>
          <w:tcPr>
            <w:tcW w:w="1199" w:type="dxa"/>
            <w:vAlign w:val="center"/>
          </w:tcPr>
          <w:p w14:paraId="2F5CA48C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  <w:tr w14:paraId="1A3A4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0" w:type="dxa"/>
            <w:vAlign w:val="center"/>
          </w:tcPr>
          <w:p w14:paraId="641E2A5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项号</w:t>
            </w:r>
          </w:p>
          <w:p w14:paraId="37EE573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  <w:tc>
          <w:tcPr>
            <w:tcW w:w="536" w:type="dxa"/>
            <w:vAlign w:val="center"/>
          </w:tcPr>
          <w:p w14:paraId="2618563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标的名称</w:t>
            </w:r>
          </w:p>
        </w:tc>
        <w:tc>
          <w:tcPr>
            <w:tcW w:w="448" w:type="dxa"/>
            <w:vAlign w:val="center"/>
          </w:tcPr>
          <w:p w14:paraId="010AB1E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618" w:type="dxa"/>
            <w:gridSpan w:val="2"/>
            <w:vAlign w:val="center"/>
          </w:tcPr>
          <w:p w14:paraId="0D908BD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636" w:type="dxa"/>
            <w:vAlign w:val="center"/>
          </w:tcPr>
          <w:p w14:paraId="14BDD3E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单价（万元）</w:t>
            </w:r>
          </w:p>
        </w:tc>
        <w:tc>
          <w:tcPr>
            <w:tcW w:w="636" w:type="dxa"/>
            <w:vAlign w:val="center"/>
          </w:tcPr>
          <w:p w14:paraId="103B2DA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合计（万元）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0C50B3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品牌、型号</w:t>
            </w:r>
          </w:p>
        </w:tc>
        <w:tc>
          <w:tcPr>
            <w:tcW w:w="3118" w:type="dxa"/>
            <w:vAlign w:val="center"/>
          </w:tcPr>
          <w:p w14:paraId="6A86A64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技术参数及性能（配置）要求</w:t>
            </w:r>
          </w:p>
        </w:tc>
        <w:tc>
          <w:tcPr>
            <w:tcW w:w="1199" w:type="dxa"/>
            <w:vAlign w:val="center"/>
          </w:tcPr>
          <w:p w14:paraId="157C3C6D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响应说明</w:t>
            </w:r>
          </w:p>
        </w:tc>
      </w:tr>
      <w:tr w14:paraId="0EE7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</w:trPr>
        <w:tc>
          <w:tcPr>
            <w:tcW w:w="440" w:type="dxa"/>
            <w:shd w:val="clear" w:color="auto" w:fill="auto"/>
            <w:vAlign w:val="center"/>
          </w:tcPr>
          <w:p w14:paraId="17D8C691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60155C1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校园邮服务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7C34367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618" w:type="dxa"/>
            <w:gridSpan w:val="2"/>
            <w:shd w:val="clear" w:color="auto" w:fill="auto"/>
            <w:vAlign w:val="center"/>
          </w:tcPr>
          <w:p w14:paraId="2EDF20F6">
            <w:pPr>
              <w:ind w:firstLine="105" w:firstLineChars="5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9768258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18B6CB6">
            <w:pPr>
              <w:ind w:firstLine="105" w:firstLineChars="5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0BABB07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1D2158E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140DDF2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7F8937F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585C0CB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4E7D173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5BCAB8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661C936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本要求中标注“▲”号的条款必须满足，对不能满足参数要求虚假响应，或者无法正常交货影响使用的，采购人将作为废标处理，并上报上级监管机构追究成交供应商虚假应标责任。</w:t>
            </w:r>
          </w:p>
          <w:p w14:paraId="43621D74"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一、系统功能要求</w:t>
            </w:r>
          </w:p>
          <w:p w14:paraId="7D37A0F3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1.邮箱账号数量要求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：教职工账号数：7000个；在校生及校友账号数：无限制。在服务期内，满足采购人教职员工、在校生及校友使用邮件系统收发邮件的要求，在校生及校友的功能及权益不低于教职工邮箱的。</w:t>
            </w:r>
          </w:p>
          <w:p w14:paraId="0C89445A"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.安全功能要求</w:t>
            </w:r>
          </w:p>
          <w:p w14:paraId="3A2EFD6C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（1）▲提供全程SSL 邮件加密功能保证通信安全，包括Web、SMTP、POP3、IMAP等登录方式，支持强制使用加密端口。</w:t>
            </w:r>
          </w:p>
          <w:p w14:paraId="59AAE36C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（2）提供良好且稳定的邮件收发服务。要求支持SMTP、POP3、IMAP 等邮件协议，支持Web、官方电脑客户端、官方移动客户端、Foxmail和Outlook等多种访问方式。</w:t>
            </w:r>
          </w:p>
          <w:p w14:paraId="09BFAF44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（3）服务器的所有端口均进行加密传输。</w:t>
            </w:r>
          </w:p>
          <w:p w14:paraId="62A50CDD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（4）支持邮件内容加密。</w:t>
            </w:r>
          </w:p>
          <w:p w14:paraId="223E466D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（5）提供复杂密码安全策略，用户密码错误次数达到一定次数时，该操作IP 会被锁定一小时，防止恶意登录。</w:t>
            </w:r>
          </w:p>
          <w:p w14:paraId="3323E5F1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（6）提供手机短信验证码的登录验证功能和客户端授权密码功能，加强用户邮箱安全。</w:t>
            </w:r>
          </w:p>
          <w:p w14:paraId="12016A00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（7）可自定义IP 登录策略，可根据不同成员的情况，按IP和地区限制用户登录区域。</w:t>
            </w:r>
          </w:p>
          <w:p w14:paraId="7D0CDE16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（8）▲支持绑定动态验证码，通过动态验证码进行二次身份认证登录。</w:t>
            </w:r>
          </w:p>
          <w:p w14:paraId="35727F68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（9）可管理多种用户使用权限，提高用户使用安全。</w:t>
            </w:r>
          </w:p>
          <w:p w14:paraId="3FDF95E8">
            <w:pPr>
              <w:pStyle w:val="13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（10）▲异地登录提醒支持英文版。</w:t>
            </w:r>
          </w:p>
          <w:p w14:paraId="4D2A82C0">
            <w:pPr>
              <w:pStyle w:val="13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（11）▲邮件系统通过国家级权威安全级别认证机构测评并获得相应EAL 3+等级证书；</w:t>
            </w:r>
          </w:p>
          <w:p w14:paraId="6726BEC5">
            <w:pPr>
              <w:pStyle w:val="13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（12）▲支持DMARC防伪造协议,同时提供可视化dmarc后台管理界面及日志查询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。</w:t>
            </w:r>
          </w:p>
          <w:p w14:paraId="15CFDFB6"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.反垃圾邮件功能要求</w:t>
            </w:r>
          </w:p>
          <w:p w14:paraId="105B257A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（1）具有合理的反垃圾邮件规则、黑白名单等反垃圾邮件措施。</w:t>
            </w:r>
          </w:p>
          <w:p w14:paraId="3A693EE9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（2）具有域级别和用户级别的双重反垃圾策略。</w:t>
            </w:r>
          </w:p>
          <w:p w14:paraId="523CFC07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（3）具有邮件隔离功能，用户可自助找回被反垃圾邮件拒收的邮件。</w:t>
            </w:r>
          </w:p>
          <w:p w14:paraId="20F877A5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（4）提供反垃圾技术支持服务，可针对校方的使用反馈，动态调整反垃圾策略。</w:t>
            </w:r>
          </w:p>
          <w:p w14:paraId="09BE648F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（5）支持DMARC、DKIM、SPF 等国际上通用的最新反垃圾</w:t>
            </w:r>
          </w:p>
          <w:p w14:paraId="012FD291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技术。</w:t>
            </w:r>
          </w:p>
          <w:p w14:paraId="2908448F"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.海外转发功能要求</w:t>
            </w:r>
          </w:p>
          <w:p w14:paraId="675AB5A5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（1）要求具有大量绿色优质IP 资源确保海外投递；</w:t>
            </w:r>
          </w:p>
          <w:p w14:paraId="32FAFAC4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（2）支持海外智能解析链路技术；</w:t>
            </w:r>
          </w:p>
          <w:p w14:paraId="1BD8DC3E"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二、系统技术需求</w:t>
            </w:r>
          </w:p>
          <w:p w14:paraId="5104B064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容量：邮箱容量无限，超大附件16G ，普通附件100M，</w:t>
            </w:r>
          </w:p>
          <w:p w14:paraId="772B2015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单个附件文件支持3G。</w:t>
            </w:r>
          </w:p>
          <w:p w14:paraId="30E5543E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▲网盘：提供每个账户独享个人网盘容量不少于5GB，网盘文件永久保存，无需手动续期，支持企业管理员对个人网盘统一开启和关闭。支持网页、邮件客户端APP访问个人网盘。</w:t>
            </w:r>
          </w:p>
          <w:p w14:paraId="4A649DC1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▲支持30秒内发信取消功能</w:t>
            </w:r>
          </w:p>
          <w:p w14:paraId="6DB4187E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邮件到达通知：可实现手机短信、移动客户端等多种邮件到达通知方式。</w:t>
            </w:r>
          </w:p>
          <w:p w14:paraId="643FD681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系统集成：提供开放接口，可与采购人的信息系统进行系统对接和整合，实现用户数据同步与单点登录。</w:t>
            </w:r>
          </w:p>
          <w:p w14:paraId="1D384B3E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密码重置：用户可以通过手机短信方式或将军令自助重置密码。</w:t>
            </w:r>
          </w:p>
          <w:p w14:paraId="3218DEF6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7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▲提供分级管理员权限查询，可根据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账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号名、管理角色名、管理部门、所属部门等条件查询对应管理权限信息。</w:t>
            </w:r>
          </w:p>
          <w:p w14:paraId="6328F6E6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支持设置分级管理员。分级管理员角色的权限，可以勾选。</w:t>
            </w:r>
          </w:p>
          <w:p w14:paraId="15F41DC4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9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支持企业自主进行域名管理，管理员可在管理后台添加/删除/修改所有的企业域名和域别名。</w:t>
            </w:r>
          </w:p>
          <w:p w14:paraId="09B08239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权限管理：可设定成员邮件自动转发权限、组织通讯录使用权限、客户端使用权限、域内外收发等权限。</w:t>
            </w:r>
          </w:p>
          <w:p w14:paraId="7056E9E9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内容搜索：支持全文搜索，准确快速的找到用户所需要的信息。</w:t>
            </w:r>
          </w:p>
          <w:p w14:paraId="13A34AA2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▲支持附件统一归类管理，可以在附件管理单独查询附件，或根据附件类型进行过滤查询邮件。</w:t>
            </w:r>
          </w:p>
          <w:p w14:paraId="531813C9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13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▲支持管理员在管理后台查看因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账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号被盗发垃圾邮件而被系统禁用的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Cs w:val="21"/>
                <w:lang w:val="en-US" w:eastAsia="zh-CN"/>
              </w:rPr>
              <w:t>账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号并操作解禁。</w:t>
            </w:r>
          </w:p>
          <w:p w14:paraId="651DC972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支持通过PC、手机（安卓、苹果及其他）、平版电脑等多种终端使用。</w:t>
            </w:r>
          </w:p>
          <w:p w14:paraId="318D8A75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▲定制的邮箱登录页面，企业自定义欢迎信。</w:t>
            </w:r>
          </w:p>
          <w:p w14:paraId="1FA05528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支持邮件正文翻译功能。</w:t>
            </w:r>
          </w:p>
          <w:p w14:paraId="4A1AC1D9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17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▲支持域内邮件删除。管理员在管理后台即可查询并批量操作域内邮件删除。该功能必须有安全规范机制。不允许为管理员设置默认开通，管理员必须通过企业申请盖章确认后方可开通使用。</w:t>
            </w:r>
          </w:p>
          <w:p w14:paraId="22DF9315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支持提供自主邮件客户端，提供专有协议，支持一键客户端设置。</w:t>
            </w:r>
          </w:p>
          <w:p w14:paraId="606C6358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19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提供服务的邮件系统无故障率不低于99.9%。</w:t>
            </w:r>
          </w:p>
          <w:p w14:paraId="1BE46916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邮件系统网络联通率不低于99.9％。</w:t>
            </w:r>
          </w:p>
          <w:p w14:paraId="6590A95B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邮件病毒平均查出比率不低于99%，邮件病毒平均杀除率不低于99%，垃圾邮件过滤率不低于97％，商业邮件误判率不高于0.01% 。</w:t>
            </w:r>
          </w:p>
          <w:p w14:paraId="1E2A5508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 w14:paraId="6206ACFE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</w:p>
          <w:p w14:paraId="003B7835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  <w:tr w14:paraId="377A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1DB82ADF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  <w:tc>
          <w:tcPr>
            <w:tcW w:w="6883" w:type="dxa"/>
            <w:gridSpan w:val="8"/>
          </w:tcPr>
          <w:p w14:paraId="5ABCB38A">
            <w:pP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总价：</w:t>
            </w:r>
          </w:p>
        </w:tc>
        <w:tc>
          <w:tcPr>
            <w:tcW w:w="1199" w:type="dxa"/>
            <w:vAlign w:val="center"/>
          </w:tcPr>
          <w:p w14:paraId="21B46B63">
            <w:pPr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  <w:tr w14:paraId="6403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3" w:type="dxa"/>
            <w:gridSpan w:val="9"/>
          </w:tcPr>
          <w:p w14:paraId="1BCDFB5F">
            <w:pP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  <w:t>商务要求表：</w:t>
            </w:r>
          </w:p>
        </w:tc>
        <w:tc>
          <w:tcPr>
            <w:tcW w:w="1199" w:type="dxa"/>
            <w:vAlign w:val="center"/>
          </w:tcPr>
          <w:p w14:paraId="42E98872">
            <w:p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  <w:t>响应说明</w:t>
            </w:r>
          </w:p>
        </w:tc>
      </w:tr>
      <w:tr w14:paraId="49DB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vAlign w:val="center"/>
          </w:tcPr>
          <w:p w14:paraId="6B960A1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合同签订时间</w:t>
            </w:r>
          </w:p>
        </w:tc>
        <w:tc>
          <w:tcPr>
            <w:tcW w:w="5795" w:type="dxa"/>
            <w:gridSpan w:val="5"/>
            <w:vAlign w:val="center"/>
          </w:tcPr>
          <w:p w14:paraId="57953671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自成交结果确定之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highlight w:val="none"/>
              </w:rPr>
              <w:t>日起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highlight w:val="none"/>
              </w:rPr>
              <w:t>个工作日内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。</w:t>
            </w:r>
          </w:p>
        </w:tc>
        <w:tc>
          <w:tcPr>
            <w:tcW w:w="1199" w:type="dxa"/>
            <w:vAlign w:val="center"/>
          </w:tcPr>
          <w:p w14:paraId="7EBBC96D"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  <w:tr w14:paraId="23E3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vAlign w:val="center"/>
          </w:tcPr>
          <w:p w14:paraId="6BC2349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合同服务期</w:t>
            </w:r>
          </w:p>
        </w:tc>
        <w:tc>
          <w:tcPr>
            <w:tcW w:w="5795" w:type="dxa"/>
            <w:gridSpan w:val="5"/>
            <w:vAlign w:val="center"/>
          </w:tcPr>
          <w:p w14:paraId="10A82400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1年</w:t>
            </w:r>
          </w:p>
        </w:tc>
        <w:tc>
          <w:tcPr>
            <w:tcW w:w="1199" w:type="dxa"/>
            <w:vAlign w:val="center"/>
          </w:tcPr>
          <w:p w14:paraId="2B60F941">
            <w:pPr>
              <w:tabs>
                <w:tab w:val="left" w:pos="420"/>
              </w:tabs>
              <w:wordWrap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4EC2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vAlign w:val="center"/>
          </w:tcPr>
          <w:p w14:paraId="473445B2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服务起止时间</w:t>
            </w:r>
          </w:p>
        </w:tc>
        <w:tc>
          <w:tcPr>
            <w:tcW w:w="5795" w:type="dxa"/>
            <w:gridSpan w:val="5"/>
            <w:vAlign w:val="center"/>
          </w:tcPr>
          <w:p w14:paraId="26398C39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2025年10月19日至2026年10月18日</w:t>
            </w:r>
          </w:p>
        </w:tc>
        <w:tc>
          <w:tcPr>
            <w:tcW w:w="1199" w:type="dxa"/>
            <w:vAlign w:val="center"/>
          </w:tcPr>
          <w:p w14:paraId="730133B4">
            <w:pPr>
              <w:tabs>
                <w:tab w:val="left" w:pos="420"/>
              </w:tabs>
              <w:wordWrap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793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vAlign w:val="center"/>
          </w:tcPr>
          <w:p w14:paraId="61BD96E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交货时间</w:t>
            </w:r>
          </w:p>
          <w:p w14:paraId="78E653B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及地点</w:t>
            </w:r>
          </w:p>
        </w:tc>
        <w:tc>
          <w:tcPr>
            <w:tcW w:w="5795" w:type="dxa"/>
            <w:gridSpan w:val="5"/>
            <w:vAlign w:val="center"/>
          </w:tcPr>
          <w:p w14:paraId="17E46E04">
            <w:pPr>
              <w:tabs>
                <w:tab w:val="left" w:pos="420"/>
              </w:tabs>
              <w:wordWrap w:val="0"/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交货时间：服务起算之日前完成交付。</w:t>
            </w:r>
          </w:p>
          <w:p w14:paraId="429C93DA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交货地点：南宁市内采购人指定地点。</w:t>
            </w:r>
          </w:p>
        </w:tc>
        <w:tc>
          <w:tcPr>
            <w:tcW w:w="1199" w:type="dxa"/>
            <w:vAlign w:val="center"/>
          </w:tcPr>
          <w:p w14:paraId="3553E0A0">
            <w:pPr>
              <w:tabs>
                <w:tab w:val="left" w:pos="420"/>
              </w:tabs>
              <w:wordWrap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  <w:tr w14:paraId="0245A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vAlign w:val="center"/>
          </w:tcPr>
          <w:p w14:paraId="02239228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</w:rPr>
              <w:t>付款方式</w:t>
            </w:r>
          </w:p>
        </w:tc>
        <w:tc>
          <w:tcPr>
            <w:tcW w:w="5795" w:type="dxa"/>
            <w:gridSpan w:val="5"/>
            <w:vAlign w:val="center"/>
          </w:tcPr>
          <w:p w14:paraId="21A4F82A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成交供应商所提供的服务经采购人验收合格后，采购人凭成交供应商开具的增值税发票按银行转账方式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一次性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支付合同款。</w:t>
            </w:r>
          </w:p>
        </w:tc>
        <w:tc>
          <w:tcPr>
            <w:tcW w:w="1199" w:type="dxa"/>
            <w:vAlign w:val="center"/>
          </w:tcPr>
          <w:p w14:paraId="2A65A169">
            <w:pPr>
              <w:tabs>
                <w:tab w:val="left" w:pos="420"/>
              </w:tabs>
              <w:wordWrap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D10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37F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</w:rPr>
              <w:t>售后服务要求</w:t>
            </w:r>
          </w:p>
        </w:tc>
        <w:tc>
          <w:tcPr>
            <w:tcW w:w="57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92BC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1、提供1年服务期内的软件维护及升级服务。</w:t>
            </w:r>
          </w:p>
          <w:p w14:paraId="7283D269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2、服务期内不定期向采购人提供有关产品最新功能描述、产品使用技巧、用户实例、最新研究动态等内容和其他相关资料。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3、提供售后服务：</w:t>
            </w:r>
          </w:p>
          <w:p w14:paraId="78FCB7AE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 xml:space="preserve">     （1）成交供应商配备提供7*8小时专属微信群服务；</w:t>
            </w:r>
          </w:p>
          <w:p w14:paraId="61DB422D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 xml:space="preserve">     （2）提供热线电话服务，支持7*24小时热线服务；</w:t>
            </w:r>
          </w:p>
          <w:p w14:paraId="1D189F65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 xml:space="preserve">     （3）提供客服邮箱工单服务，邮件工单问题24小时内完成回复处理。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51044">
            <w:pPr>
              <w:tabs>
                <w:tab w:val="left" w:pos="420"/>
              </w:tabs>
              <w:wordWrap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  <w:tr w14:paraId="2C66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82DB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</w:rPr>
              <w:t>其他要求</w:t>
            </w:r>
          </w:p>
        </w:tc>
        <w:tc>
          <w:tcPr>
            <w:tcW w:w="57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8DE71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▲1、投标人</w:t>
            </w:r>
            <w:r>
              <w:rPr>
                <w:rFonts w:hint="eastAsia"/>
                <w:color w:val="auto"/>
                <w:lang w:val="en-US" w:eastAsia="zh-CN"/>
              </w:rPr>
              <w:t>需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在投标文件中提供相关材料截图（加盖公章）供核验，如采购小组要求现场功能演示，则投标人按要求进行演示。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如达不到要求，采购人可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单方面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取消供应商报价资格，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并按评分顺序选择供应商，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追究投标供应商虚假应标责任。</w:t>
            </w:r>
          </w:p>
          <w:p w14:paraId="7D4CE7EF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▲2、本项目按服务总价包干，为交钥匙工程，采购人不对项目服务、货物、施工等一切内容追加支付费用，而由成交供应商在合同价内全部提供或解决，报价必须含以下部分：</w:t>
            </w:r>
          </w:p>
          <w:p w14:paraId="0B00EC2F">
            <w:pPr>
              <w:spacing w:line="24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（1）服务的价格；</w:t>
            </w:r>
          </w:p>
          <w:p w14:paraId="35BD7A0C">
            <w:pPr>
              <w:spacing w:line="24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（2）必要的保险费用和各项税金；</w:t>
            </w:r>
          </w:p>
          <w:p w14:paraId="06074FB1">
            <w:pPr>
              <w:spacing w:line="24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（3）安装、调试、培训、技术支持、售后服务、更新升级等费用；</w:t>
            </w:r>
          </w:p>
          <w:p w14:paraId="086C64A6">
            <w:pPr>
              <w:spacing w:line="24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（4）验收时的专家服务费和采购代理费用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。</w:t>
            </w:r>
          </w:p>
          <w:p w14:paraId="205A6012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3、标注“▲”号的条款必须满足，对不能满足参数要求虚假响应，或者无法正常交货影响使用的，采购人将作为废标处理，并上报上级监管机构追究成交供应商虚假应标责任。</w:t>
            </w:r>
          </w:p>
          <w:p w14:paraId="3BAAE0ED">
            <w:pPr>
              <w:spacing w:line="240" w:lineRule="auto"/>
              <w:ind w:firstLine="210" w:firstLineChars="100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  <w:p w14:paraId="106E11C1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EA65">
            <w:pPr>
              <w:tabs>
                <w:tab w:val="left" w:pos="420"/>
              </w:tabs>
              <w:wordWrap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</w:p>
        </w:tc>
      </w:tr>
    </w:tbl>
    <w:p w14:paraId="6EC88396">
      <w:pPr>
        <w:pStyle w:val="5"/>
        <w:rPr>
          <w:rFonts w:hint="eastAsia"/>
          <w:color w:va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金山简黑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@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ZWUyZWUwOTI4YTg0ODAyN2FjMzE5MGIyYTNhYzkifQ=="/>
  </w:docVars>
  <w:rsids>
    <w:rsidRoot w:val="FF4E39D1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6365839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  <w:rsid w:val="F1FEB27A"/>
    <w:rsid w:val="FF4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金山简黑体" w:hAnsi="金山简黑体" w:eastAsia="Times New Roman" w:cs="Courier New"/>
      <w:b/>
      <w:spacing w:val="-50"/>
      <w:sz w:val="44"/>
      <w:szCs w:val="20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网格型1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1849</Words>
  <Characters>1983</Characters>
  <Lines>0</Lines>
  <Paragraphs>0</Paragraphs>
  <TotalTime>12</TotalTime>
  <ScaleCrop>false</ScaleCrop>
  <LinksUpToDate>false</LinksUpToDate>
  <CharactersWithSpaces>2008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2025-10-10T06:32:00Z</dcterms:created>
  <dc:creator>雷成</dc:creator>
  <cp:lastModifiedBy>WPS_1660524169</cp:lastModifiedBy>
  <dcterms:modified xsi:type="dcterms:W3CDTF">2025-10-10T07:57:05Z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eyJoZGlkIjoiNWMwODkwZTBkODk2NzQ2OTE1YjY3NDA2M2VhOTQ0MWIiLCJ1c2VySWQiOiIxMzkzODI1MTcyIn0=</vt:lpwstr>
  </property>
</Properties>
</file>